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BF3F8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outlineLvl w:val="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</w:p>
    <w:p w14:paraId="5310AFB2">
      <w:pPr>
        <w:spacing w:line="560" w:lineRule="exact"/>
        <w:jc w:val="center"/>
        <w:outlineLvl w:val="0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专家库“专家”标准执行细则</w:t>
      </w:r>
    </w:p>
    <w:p w14:paraId="2399177F">
      <w:pPr>
        <w:spacing w:line="560" w:lineRule="exact"/>
        <w:jc w:val="center"/>
        <w:outlineLvl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V2.0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6D3D484F">
      <w:pPr>
        <w:spacing w:line="560" w:lineRule="exact"/>
        <w:jc w:val="center"/>
        <w:outlineLvl w:val="0"/>
        <w:rPr>
          <w:rFonts w:ascii="仿宋" w:hAnsi="仿宋" w:eastAsia="仿宋" w:cs="仿宋"/>
          <w:sz w:val="32"/>
          <w:szCs w:val="32"/>
        </w:rPr>
      </w:pPr>
    </w:p>
    <w:p w14:paraId="272793BF">
      <w:pPr>
        <w:spacing w:line="560" w:lineRule="exact"/>
        <w:jc w:val="center"/>
        <w:outlineLvl w:val="1"/>
        <w:rPr>
          <w:rFonts w:ascii="黑体" w:hAnsi="黑体" w:eastAsia="黑体"/>
          <w:bCs/>
          <w:sz w:val="32"/>
          <w:szCs w:val="32"/>
        </w:rPr>
      </w:pPr>
      <w:bookmarkStart w:id="0" w:name="OLE_LINK22"/>
      <w:r>
        <w:rPr>
          <w:rFonts w:hint="eastAsia" w:ascii="黑体" w:hAnsi="黑体" w:eastAsia="黑体"/>
          <w:bCs/>
          <w:sz w:val="32"/>
          <w:szCs w:val="32"/>
        </w:rPr>
        <w:t>第一章 执行依据</w:t>
      </w:r>
    </w:p>
    <w:p w14:paraId="10EABBF6">
      <w:pPr>
        <w:widowControl/>
        <w:spacing w:line="560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z w:val="32"/>
          <w:szCs w:val="32"/>
        </w:rPr>
        <w:t>本执行细则依据</w:t>
      </w:r>
      <w:r>
        <w:rPr>
          <w:rFonts w:hint="eastAsia" w:ascii="仿宋" w:hAnsi="仿宋" w:eastAsia="仿宋" w:cs="宋体"/>
          <w:sz w:val="32"/>
          <w:szCs w:val="32"/>
        </w:rPr>
        <w:t>“全国青少年人工智能辅助生成数字艺术创作者大赛”（以下简称大赛）章程及附件2《大赛组委会管理办法》、附件6《大赛主题与阅卷管理办法》、附件7《大赛专家库管理办法》、附件8《大赛工作人员行为规范》等大赛相关管理办法制定。</w:t>
      </w:r>
    </w:p>
    <w:p w14:paraId="292B6C84">
      <w:pPr>
        <w:widowControl/>
        <w:spacing w:line="560" w:lineRule="exact"/>
        <w:rPr>
          <w:rFonts w:ascii="仿宋" w:hAnsi="仿宋" w:eastAsia="仿宋" w:cs="宋体"/>
          <w:sz w:val="32"/>
          <w:szCs w:val="32"/>
        </w:rPr>
      </w:pPr>
    </w:p>
    <w:bookmarkEnd w:id="0"/>
    <w:p w14:paraId="14F263AD">
      <w:pPr>
        <w:spacing w:line="560" w:lineRule="exact"/>
        <w:jc w:val="center"/>
        <w:outlineLvl w:val="1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第二章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专家库入库标准</w:t>
      </w:r>
    </w:p>
    <w:p w14:paraId="363B6F0C">
      <w:pPr>
        <w:spacing w:line="560" w:lineRule="exact"/>
        <w:jc w:val="center"/>
        <w:outlineLvl w:val="1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（全国约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6000</w:t>
      </w:r>
      <w:r>
        <w:rPr>
          <w:rFonts w:hint="eastAsia" w:ascii="黑体" w:hAnsi="黑体" w:eastAsia="黑体"/>
          <w:bCs/>
          <w:sz w:val="32"/>
          <w:szCs w:val="32"/>
        </w:rPr>
        <w:t>人）</w:t>
      </w:r>
    </w:p>
    <w:p w14:paraId="4896A0D8">
      <w:pPr>
        <w:widowControl/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</w:t>
      </w:r>
      <w:r>
        <w:rPr>
          <w:rFonts w:hint="eastAsia" w:ascii="仿宋" w:hAnsi="仿宋" w:eastAsia="仿宋"/>
          <w:sz w:val="32"/>
          <w:szCs w:val="32"/>
        </w:rPr>
        <w:t>大专院校及科研院所相关专家</w:t>
      </w:r>
      <w:r>
        <w:rPr>
          <w:rFonts w:hint="eastAsia" w:ascii="仿宋" w:hAnsi="仿宋" w:eastAsia="仿宋" w:cs="宋体"/>
          <w:sz w:val="32"/>
          <w:szCs w:val="32"/>
        </w:rPr>
        <w:t>35%</w:t>
      </w:r>
      <w:r>
        <w:rPr>
          <w:rFonts w:hint="eastAsia" w:ascii="仿宋" w:hAnsi="仿宋" w:eastAsia="仿宋"/>
          <w:sz w:val="32"/>
          <w:szCs w:val="32"/>
        </w:rPr>
        <w:t>（约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2100</w:t>
      </w:r>
      <w:r>
        <w:rPr>
          <w:rFonts w:hint="eastAsia" w:ascii="仿宋" w:hAnsi="仿宋" w:eastAsia="仿宋"/>
          <w:sz w:val="32"/>
          <w:szCs w:val="32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778"/>
      </w:tblGrid>
      <w:tr w14:paraId="6D097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2"/>
          </w:tcPr>
          <w:p w14:paraId="07990BAA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大专院校及科研院所相关专家标准执行细则</w:t>
            </w:r>
          </w:p>
        </w:tc>
      </w:tr>
      <w:tr w14:paraId="50C07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296" w:type="dxa"/>
            <w:gridSpan w:val="2"/>
          </w:tcPr>
          <w:p w14:paraId="4F1182CA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研究生毕业2年及以上，本科毕业3年及以上，全职工作经验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以上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val="en-US" w:eastAsia="zh-CN"/>
              </w:rPr>
              <w:t>边远地区和基层一线人员可放宽至工作3年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同时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满足以下两个条件：</w:t>
            </w:r>
          </w:p>
        </w:tc>
      </w:tr>
      <w:tr w14:paraId="05EB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vAlign w:val="center"/>
          </w:tcPr>
          <w:p w14:paraId="00E38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7778" w:type="dxa"/>
            <w:vAlign w:val="center"/>
          </w:tcPr>
          <w:p w14:paraId="6807F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参与1项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及以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上人工智能、艺术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、教育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、文化科技融合等相关领域省部级及以上课题;</w:t>
            </w:r>
          </w:p>
        </w:tc>
      </w:tr>
      <w:tr w14:paraId="62D6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18" w:type="dxa"/>
            <w:vAlign w:val="center"/>
          </w:tcPr>
          <w:p w14:paraId="1E910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7778" w:type="dxa"/>
            <w:vAlign w:val="center"/>
          </w:tcPr>
          <w:p w14:paraId="2877E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参与省部级及以上竞赛、活动的命题、评审、指导、培训或组织工作；</w:t>
            </w:r>
          </w:p>
        </w:tc>
      </w:tr>
      <w:tr w14:paraId="402C7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vAlign w:val="center"/>
          </w:tcPr>
          <w:p w14:paraId="237D3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3</w:t>
            </w:r>
          </w:p>
        </w:tc>
        <w:tc>
          <w:tcPr>
            <w:tcW w:w="7778" w:type="dxa"/>
            <w:vAlign w:val="center"/>
          </w:tcPr>
          <w:p w14:paraId="1FF43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参与过教材编写、课程建设、教改项目、学术活动、行业活动等相关工作；</w:t>
            </w:r>
          </w:p>
        </w:tc>
      </w:tr>
      <w:tr w14:paraId="1D5C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vAlign w:val="center"/>
          </w:tcPr>
          <w:p w14:paraId="435A9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4</w:t>
            </w:r>
          </w:p>
        </w:tc>
        <w:tc>
          <w:tcPr>
            <w:tcW w:w="7778" w:type="dxa"/>
            <w:vAlign w:val="center"/>
          </w:tcPr>
          <w:p w14:paraId="1D701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取得1项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以上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  <w:woUserID w:val="2"/>
              </w:rPr>
              <w:t>与本领域相关的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论文、著作、作品、研究报告、专利、软著、课程资源等成果；</w:t>
            </w:r>
          </w:p>
        </w:tc>
      </w:tr>
      <w:tr w14:paraId="776F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vAlign w:val="center"/>
          </w:tcPr>
          <w:p w14:paraId="74A95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5</w:t>
            </w:r>
          </w:p>
        </w:tc>
        <w:tc>
          <w:tcPr>
            <w:tcW w:w="7778" w:type="dxa"/>
            <w:vAlign w:val="center"/>
          </w:tcPr>
          <w:p w14:paraId="75EBC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大赛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相关领域获得荣誉或表彰；</w:t>
            </w:r>
          </w:p>
        </w:tc>
      </w:tr>
      <w:tr w14:paraId="2177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vAlign w:val="center"/>
          </w:tcPr>
          <w:p w14:paraId="44B14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6</w:t>
            </w:r>
          </w:p>
        </w:tc>
        <w:tc>
          <w:tcPr>
            <w:tcW w:w="7778" w:type="dxa"/>
            <w:vAlign w:val="center"/>
          </w:tcPr>
          <w:p w14:paraId="40DF4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baseline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具有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高校、科研院所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或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行业机构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3年以上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教学、科研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或相关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实践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工作经验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。</w:t>
            </w:r>
          </w:p>
        </w:tc>
      </w:tr>
    </w:tbl>
    <w:p w14:paraId="345F1110">
      <w:pPr>
        <w:widowControl/>
        <w:spacing w:line="52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二、一线教学及教育管理专家、学者、教师45%（约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2700</w:t>
      </w:r>
      <w:r>
        <w:rPr>
          <w:rFonts w:hint="eastAsia" w:ascii="仿宋" w:hAnsi="仿宋" w:eastAsia="仿宋" w:cs="宋体"/>
          <w:sz w:val="32"/>
          <w:szCs w:val="32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976"/>
        <w:gridCol w:w="6090"/>
      </w:tblGrid>
      <w:tr w14:paraId="4BB35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532621F5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一线教学及教育管理专家、学者、教师标准执行细则</w:t>
            </w:r>
          </w:p>
        </w:tc>
      </w:tr>
      <w:tr w14:paraId="6905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6" w:type="dxa"/>
            <w:gridSpan w:val="3"/>
          </w:tcPr>
          <w:p w14:paraId="21CFC8EF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担任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级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及以上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教研员；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或者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同时满足以下两个条件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。</w:t>
            </w:r>
          </w:p>
        </w:tc>
      </w:tr>
      <w:tr w14:paraId="0C545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</w:tcPr>
          <w:p w14:paraId="3E22F46C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（一）</w:t>
            </w:r>
          </w:p>
        </w:tc>
        <w:tc>
          <w:tcPr>
            <w:tcW w:w="7360" w:type="dxa"/>
            <w:gridSpan w:val="2"/>
          </w:tcPr>
          <w:p w14:paraId="548F16E2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从事（校内、校外）中小学、中职教育教学、教研或管理工作满3年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；</w:t>
            </w:r>
          </w:p>
        </w:tc>
      </w:tr>
      <w:tr w14:paraId="04DF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restart"/>
          </w:tcPr>
          <w:p w14:paraId="6053C50B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（二）</w:t>
            </w:r>
          </w:p>
        </w:tc>
        <w:tc>
          <w:tcPr>
            <w:tcW w:w="7360" w:type="dxa"/>
            <w:gridSpan w:val="2"/>
          </w:tcPr>
          <w:p w14:paraId="1FB4EE6A">
            <w:pPr>
              <w:widowControl/>
              <w:spacing w:line="320" w:lineRule="exact"/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大学本科学历以上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、至少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3年全职工作经历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且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同时满足以下两个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条件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。</w:t>
            </w:r>
          </w:p>
        </w:tc>
      </w:tr>
      <w:tr w14:paraId="24B8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FC99D43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7CF0B30B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6801" w:type="dxa"/>
          </w:tcPr>
          <w:p w14:paraId="7D4DCC94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牵头主持或参与过省部级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以上教科研课题或项目；</w:t>
            </w:r>
          </w:p>
        </w:tc>
      </w:tr>
      <w:tr w14:paraId="5737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3BCD26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315CF320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6801" w:type="dxa"/>
          </w:tcPr>
          <w:p w14:paraId="2315983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参与省部级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以上命题、评审、培训、竞赛、教研活动；</w:t>
            </w:r>
          </w:p>
        </w:tc>
      </w:tr>
      <w:tr w14:paraId="5006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641ECA8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23FE780F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3</w:t>
            </w:r>
          </w:p>
        </w:tc>
        <w:tc>
          <w:tcPr>
            <w:tcW w:w="6801" w:type="dxa"/>
          </w:tcPr>
          <w:p w14:paraId="32BDF802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指导学生获得县区级以上赛事奖励；</w:t>
            </w:r>
          </w:p>
        </w:tc>
      </w:tr>
      <w:tr w14:paraId="6478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" w:type="dxa"/>
            <w:vMerge w:val="continue"/>
          </w:tcPr>
          <w:p w14:paraId="2DD9679E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4D9D96CA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4</w:t>
            </w:r>
          </w:p>
        </w:tc>
        <w:tc>
          <w:tcPr>
            <w:tcW w:w="6801" w:type="dxa"/>
          </w:tcPr>
          <w:p w14:paraId="7CD0A8C1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在人工智能教育、艺术教育、综合实践等方面取得一定教学成果；</w:t>
            </w:r>
          </w:p>
        </w:tc>
      </w:tr>
      <w:tr w14:paraId="2338F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5FB4CC3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2591E870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5</w:t>
            </w:r>
          </w:p>
        </w:tc>
        <w:tc>
          <w:tcPr>
            <w:tcW w:w="6801" w:type="dxa"/>
          </w:tcPr>
          <w:p w14:paraId="62540564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主持或参与过校内外教材编纂撰写工作；</w:t>
            </w:r>
          </w:p>
        </w:tc>
      </w:tr>
      <w:tr w14:paraId="6C7A7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6D65AF3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372084BA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6</w:t>
            </w:r>
          </w:p>
        </w:tc>
        <w:tc>
          <w:tcPr>
            <w:tcW w:w="6801" w:type="dxa"/>
          </w:tcPr>
          <w:p w14:paraId="7EE957E5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校外艺术教育机构创始人或其他重要岗位。</w:t>
            </w:r>
          </w:p>
        </w:tc>
      </w:tr>
    </w:tbl>
    <w:p w14:paraId="2F5AEB4C">
      <w:pPr>
        <w:widowControl/>
        <w:numPr>
          <w:ilvl w:val="0"/>
          <w:numId w:val="1"/>
        </w:numPr>
        <w:spacing w:line="52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相关专业艺术家、文化科技融合专家10%（约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600</w:t>
      </w:r>
      <w:r>
        <w:rPr>
          <w:rFonts w:hint="eastAsia" w:ascii="仿宋" w:hAnsi="仿宋" w:eastAsia="仿宋" w:cs="宋体"/>
          <w:sz w:val="32"/>
          <w:szCs w:val="32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976"/>
        <w:gridCol w:w="6090"/>
      </w:tblGrid>
      <w:tr w14:paraId="12E5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150CA237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相关专业艺术家、文化科技融合专家标准执行细则</w:t>
            </w:r>
          </w:p>
        </w:tc>
      </w:tr>
      <w:tr w14:paraId="623A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7B24A37B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研究生毕业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具备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2年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以上全职工作经验、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本科毕业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具备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3年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以上全职工作经验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边远地区和基层一线人员可放宽至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</w:rPr>
              <w:t>大专毕业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val="en-US" w:eastAsia="zh-CN"/>
              </w:rPr>
              <w:t>但需要10年以上全职工作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；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事业单位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在编人员须具备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副高级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职称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以上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或者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管理6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级岗位以上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职务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。同时满足以下两个条件：</w:t>
            </w:r>
          </w:p>
        </w:tc>
      </w:tr>
      <w:tr w14:paraId="7386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</w:tcPr>
          <w:p w14:paraId="08C58A39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（一）</w:t>
            </w:r>
          </w:p>
        </w:tc>
        <w:tc>
          <w:tcPr>
            <w:tcW w:w="7360" w:type="dxa"/>
            <w:gridSpan w:val="2"/>
          </w:tcPr>
          <w:p w14:paraId="64F548E0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在视觉听觉表达、视觉听觉传播、视听推送及视听综合应用等相关领域取得综合成就、做出相应贡献以及具有代表性作品成果。</w:t>
            </w:r>
          </w:p>
        </w:tc>
      </w:tr>
      <w:tr w14:paraId="3B5B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restart"/>
          </w:tcPr>
          <w:p w14:paraId="7FFA454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（二）</w:t>
            </w:r>
          </w:p>
        </w:tc>
        <w:tc>
          <w:tcPr>
            <w:tcW w:w="7360" w:type="dxa"/>
            <w:gridSpan w:val="2"/>
          </w:tcPr>
          <w:p w14:paraId="0B93C198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近7年内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需同时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满足下列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任意两项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条件：</w:t>
            </w:r>
          </w:p>
        </w:tc>
      </w:tr>
      <w:tr w14:paraId="2705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1E9C6EE5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066CD27E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6801" w:type="dxa"/>
          </w:tcPr>
          <w:p w14:paraId="6537C165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参与相关市级以上公共文化活动或艺术创作实践并获得相应的成绩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；</w:t>
            </w:r>
          </w:p>
        </w:tc>
      </w:tr>
      <w:tr w14:paraId="54BA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EF78064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22A5FBEA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6801" w:type="dxa"/>
          </w:tcPr>
          <w:p w14:paraId="574816E9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具有至少1项软件著作权、专利、出版物、作品集、公开发表作品等；</w:t>
            </w:r>
          </w:p>
        </w:tc>
      </w:tr>
      <w:tr w14:paraId="34F60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AD33672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69671406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3</w:t>
            </w:r>
          </w:p>
        </w:tc>
        <w:tc>
          <w:tcPr>
            <w:tcW w:w="6801" w:type="dxa"/>
          </w:tcPr>
          <w:p w14:paraId="3279927F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获得至少1项省部级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以上专业奖项或行业表彰；</w:t>
            </w:r>
          </w:p>
        </w:tc>
      </w:tr>
      <w:tr w14:paraId="381AA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7660F37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5DC96A15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4</w:t>
            </w:r>
          </w:p>
        </w:tc>
        <w:tc>
          <w:tcPr>
            <w:tcW w:w="6801" w:type="dxa"/>
          </w:tcPr>
          <w:p w14:paraId="6ACF0099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在科技企业、文化企业、数字内容机构、艺术机构等担任相关重要岗位；</w:t>
            </w:r>
          </w:p>
        </w:tc>
      </w:tr>
      <w:tr w14:paraId="2D39F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57FF5BDC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6C509579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5</w:t>
            </w:r>
          </w:p>
        </w:tc>
        <w:tc>
          <w:tcPr>
            <w:tcW w:w="6801" w:type="dxa"/>
          </w:tcPr>
          <w:p w14:paraId="146925EF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受邀在重点学校或者大专院校（科技大厂或者省属以上企业）作讲座、报告、分享、培训、评审1次及以上；</w:t>
            </w:r>
          </w:p>
        </w:tc>
      </w:tr>
      <w:tr w14:paraId="59E7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CF06714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6067DB13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6</w:t>
            </w:r>
          </w:p>
        </w:tc>
        <w:tc>
          <w:tcPr>
            <w:tcW w:w="6801" w:type="dxa"/>
          </w:tcPr>
          <w:p w14:paraId="15DC35C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参与过国家艺术基金、文化项目、创作项目、文化科技融合项目的培训；</w:t>
            </w:r>
          </w:p>
        </w:tc>
      </w:tr>
      <w:tr w14:paraId="1BD1C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5B152A44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13F4C288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7</w:t>
            </w:r>
          </w:p>
        </w:tc>
        <w:tc>
          <w:tcPr>
            <w:tcW w:w="6801" w:type="dxa"/>
          </w:tcPr>
          <w:p w14:paraId="6B5520CE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作品参加过省级以上展览；</w:t>
            </w:r>
          </w:p>
        </w:tc>
      </w:tr>
      <w:tr w14:paraId="4E3A5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67C5BF87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559" w:type="dxa"/>
          </w:tcPr>
          <w:p w14:paraId="5728B829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8</w:t>
            </w:r>
          </w:p>
        </w:tc>
        <w:tc>
          <w:tcPr>
            <w:tcW w:w="6801" w:type="dxa"/>
          </w:tcPr>
          <w:p w14:paraId="29E43C6C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参加过国际展览。</w:t>
            </w:r>
          </w:p>
        </w:tc>
      </w:tr>
    </w:tbl>
    <w:p w14:paraId="73F83264">
      <w:pPr>
        <w:spacing w:line="560" w:lineRule="exact"/>
        <w:rPr>
          <w:rFonts w:ascii="楷体" w:hAnsi="楷体" w:eastAsia="楷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四、A</w:t>
      </w:r>
      <w:r>
        <w:rPr>
          <w:rFonts w:ascii="仿宋" w:hAnsi="仿宋" w:eastAsia="仿宋" w:cs="宋体"/>
          <w:sz w:val="32"/>
          <w:szCs w:val="32"/>
        </w:rPr>
        <w:t>I技术专家</w:t>
      </w:r>
      <w:r>
        <w:rPr>
          <w:rFonts w:hint="eastAsia" w:ascii="仿宋" w:hAnsi="仿宋" w:eastAsia="仿宋" w:cs="宋体"/>
          <w:sz w:val="32"/>
          <w:szCs w:val="32"/>
        </w:rPr>
        <w:t>5%（约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300</w:t>
      </w:r>
      <w:r>
        <w:rPr>
          <w:rFonts w:hint="eastAsia" w:ascii="仿宋" w:hAnsi="仿宋" w:eastAsia="仿宋" w:cs="宋体"/>
          <w:sz w:val="32"/>
          <w:szCs w:val="32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976"/>
        <w:gridCol w:w="5890"/>
      </w:tblGrid>
      <w:tr w14:paraId="492C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78BA6943">
            <w:pPr>
              <w:widowControl/>
              <w:spacing w:line="32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AI技术专家量化标准执行细则</w:t>
            </w:r>
          </w:p>
        </w:tc>
      </w:tr>
      <w:tr w14:paraId="2706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6EE1301F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从事AI相关产业，同时满足以下两个条件：</w:t>
            </w:r>
          </w:p>
        </w:tc>
      </w:tr>
      <w:tr w14:paraId="6A910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</w:tcPr>
          <w:p w14:paraId="1E87594B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</w:rPr>
              <w:t>（一）</w:t>
            </w:r>
          </w:p>
        </w:tc>
        <w:tc>
          <w:tcPr>
            <w:tcW w:w="7360" w:type="dxa"/>
            <w:gridSpan w:val="2"/>
          </w:tcPr>
          <w:p w14:paraId="7CC2F315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在企业、高校、科研机构或技术团队从事人工智能、算法、平台、系统开发、AIGC应用等相关工作满1年以上；</w:t>
            </w:r>
          </w:p>
        </w:tc>
      </w:tr>
      <w:tr w14:paraId="6A380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restart"/>
          </w:tcPr>
          <w:p w14:paraId="7B35A11F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</w:rPr>
              <w:t>（二）</w:t>
            </w:r>
          </w:p>
        </w:tc>
        <w:tc>
          <w:tcPr>
            <w:tcW w:w="7360" w:type="dxa"/>
            <w:gridSpan w:val="2"/>
          </w:tcPr>
          <w:p w14:paraId="3E9F67DD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近5年内至少满足下列条件之一：</w:t>
            </w:r>
          </w:p>
        </w:tc>
      </w:tr>
      <w:tr w14:paraId="41C8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870F7E5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7A368AA0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801" w:type="dxa"/>
          </w:tcPr>
          <w:p w14:paraId="6E819C8B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参与AIGC模型、工具、图像、多媒体生成系统研发或相关模块开发；</w:t>
            </w:r>
          </w:p>
        </w:tc>
      </w:tr>
      <w:tr w14:paraId="7DB7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101ADB5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06B0C055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801" w:type="dxa"/>
          </w:tcPr>
          <w:p w14:paraId="36DD3B5F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参与AI在教育、文化、艺术场景中的应用项目；</w:t>
            </w:r>
          </w:p>
        </w:tc>
      </w:tr>
      <w:tr w14:paraId="50FDC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28E12304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546F80B8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6801" w:type="dxa"/>
          </w:tcPr>
          <w:p w14:paraId="1C7D211B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参与过可验证的AI产品、平台、工具、解决方案或有案例成果；</w:t>
            </w:r>
          </w:p>
        </w:tc>
      </w:tr>
      <w:tr w14:paraId="3610D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431161E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4A9E02BC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6801" w:type="dxa"/>
          </w:tcPr>
          <w:p w14:paraId="25ABE95F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自身具备前瞻性的行业视野，在相关技术竞赛、行业项目、应用转化中有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可验证的成果或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独特见解；</w:t>
            </w:r>
          </w:p>
        </w:tc>
      </w:tr>
      <w:tr w14:paraId="5C21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5B59C0B2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6127A00C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6801" w:type="dxa"/>
          </w:tcPr>
          <w:p w14:paraId="350E48C5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已满足本细则第二章第一类“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大专院校及科研院所相关专家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”或第二类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一线教学及教育管理专家、学者、教师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的入库条件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</w:tc>
      </w:tr>
    </w:tbl>
    <w:p w14:paraId="084ACB0E">
      <w:pPr>
        <w:spacing w:line="560" w:lineRule="exact"/>
        <w:rPr>
          <w:rFonts w:ascii="楷体" w:hAnsi="楷体" w:eastAsia="楷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五、文化艺术产业相关从业者5%（约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300</w:t>
      </w:r>
      <w:r>
        <w:rPr>
          <w:rFonts w:hint="eastAsia" w:ascii="仿宋" w:hAnsi="仿宋" w:eastAsia="仿宋" w:cs="宋体"/>
          <w:sz w:val="32"/>
          <w:szCs w:val="32"/>
        </w:rPr>
        <w:t>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976"/>
        <w:gridCol w:w="5890"/>
      </w:tblGrid>
      <w:tr w14:paraId="2ED3B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35D9DBBF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文化艺术产业相关从业者标准执行细则</w:t>
            </w:r>
          </w:p>
        </w:tc>
      </w:tr>
      <w:tr w14:paraId="3C7E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6" w:type="dxa"/>
            <w:gridSpan w:val="3"/>
          </w:tcPr>
          <w:p w14:paraId="6BEED348">
            <w:pPr>
              <w:widowControl/>
              <w:spacing w:line="32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研究生毕业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具备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2年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以上全职工作经验、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本科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具备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3年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"/>
              </w:rPr>
              <w:t>以上全职工作经验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边远地区和基层一线人员可放宽至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</w:rPr>
              <w:t>大专毕业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val="en-US" w:eastAsia="zh-CN"/>
              </w:rPr>
              <w:t>但需要10年以上全职工作</w:t>
            </w: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；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事业单位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在编人员须具备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高级职称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以上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或者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管理6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级岗位以上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职务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。同时满足以下两个条件：</w:t>
            </w:r>
          </w:p>
        </w:tc>
      </w:tr>
      <w:tr w14:paraId="27B6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</w:tcPr>
          <w:p w14:paraId="19DD21BA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</w:rPr>
              <w:t>（一）</w:t>
            </w:r>
          </w:p>
        </w:tc>
        <w:tc>
          <w:tcPr>
            <w:tcW w:w="7360" w:type="dxa"/>
            <w:gridSpan w:val="2"/>
          </w:tcPr>
          <w:p w14:paraId="1DC317A6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来自院校、文化科技企业、数字内容企业、文旅机构、行业协会、媒体平台等单位，从事视觉听觉表达、视觉听觉传播、视觉听觉推送、视觉听觉综合相关的行业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工作满3年以上。</w:t>
            </w:r>
          </w:p>
        </w:tc>
      </w:tr>
      <w:tr w14:paraId="6F0C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restart"/>
          </w:tcPr>
          <w:p w14:paraId="5D29473A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</w:rPr>
              <w:t>（二）</w:t>
            </w:r>
          </w:p>
        </w:tc>
        <w:tc>
          <w:tcPr>
            <w:tcW w:w="7360" w:type="dxa"/>
            <w:gridSpan w:val="2"/>
          </w:tcPr>
          <w:p w14:paraId="1BDE9E06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近7年内至少满足下列条件之一：</w:t>
            </w:r>
          </w:p>
        </w:tc>
      </w:tr>
      <w:tr w14:paraId="6B3E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45ADDE2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58619DE1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801" w:type="dxa"/>
          </w:tcPr>
          <w:p w14:paraId="11E4581D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主持、参与或协助实施过数字艺术、文化科技融合、文化IP、数字内容产品等相关项目；</w:t>
            </w:r>
          </w:p>
        </w:tc>
      </w:tr>
      <w:tr w14:paraId="4DCD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6455C2EE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18C23BF0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801" w:type="dxa"/>
          </w:tcPr>
          <w:p w14:paraId="02953CEE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参与行业标准、团体标准、行业规范、活动策划、项目评估等工作；</w:t>
            </w:r>
          </w:p>
        </w:tc>
      </w:tr>
      <w:tr w14:paraId="31DD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76BD9007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0FE386FA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6801" w:type="dxa"/>
          </w:tcPr>
          <w:p w14:paraId="2119BAEA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在研学实践活动、产教融合、校企合作等项目中承担重要工作；</w:t>
            </w:r>
          </w:p>
        </w:tc>
      </w:tr>
      <w:tr w14:paraId="4C6B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31632CC2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14BD83BF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6801" w:type="dxa"/>
          </w:tcPr>
          <w:p w14:paraId="47EECC28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有较成熟的项目案例、活动成果、产品成果或推广经验；</w:t>
            </w:r>
          </w:p>
        </w:tc>
      </w:tr>
      <w:tr w14:paraId="7C11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6" w:type="dxa"/>
            <w:vMerge w:val="continue"/>
          </w:tcPr>
          <w:p w14:paraId="00FE7F19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9" w:type="dxa"/>
          </w:tcPr>
          <w:p w14:paraId="05D24B00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6801" w:type="dxa"/>
          </w:tcPr>
          <w:p w14:paraId="2788A306">
            <w:pPr>
              <w:widowControl/>
              <w:spacing w:line="3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已满足本细则第二条“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大专院校及科研院所相关专家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”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条“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一线教学及教育管理专家、学者、教师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”或第三条“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相关专业艺术家、文化科技融合专家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的入库条件之一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</w:tc>
      </w:tr>
    </w:tbl>
    <w:p w14:paraId="5CAE3DC4">
      <w:pPr>
        <w:spacing w:line="560" w:lineRule="exact"/>
        <w:jc w:val="center"/>
        <w:rPr>
          <w:rFonts w:ascii="黑体" w:hAnsi="黑体" w:eastAsia="黑体"/>
          <w:bCs/>
          <w:sz w:val="32"/>
          <w:szCs w:val="32"/>
        </w:rPr>
      </w:pPr>
    </w:p>
    <w:p w14:paraId="47581B04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baseline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海外高层次人才和专业技术人才可放宽至工作1年以上。</w:t>
      </w:r>
    </w:p>
    <w:p w14:paraId="7A0A1B86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黑体" w:hAnsi="黑体" w:eastAsia="黑体"/>
          <w:bCs/>
          <w:sz w:val="32"/>
          <w:szCs w:val="32"/>
        </w:rPr>
      </w:pPr>
    </w:p>
    <w:p w14:paraId="568C298B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ind w:left="2240" w:leftChars="200" w:hanging="1600" w:hangingChars="500"/>
        <w:jc w:val="both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全国青少年人工智能辅助生成数字艺术</w:t>
      </w:r>
    </w:p>
    <w:p w14:paraId="1AFD5FFD"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</w:t>
      </w:r>
      <w:r>
        <w:rPr>
          <w:rFonts w:ascii="仿宋" w:hAnsi="仿宋" w:eastAsia="仿宋"/>
          <w:sz w:val="32"/>
          <w:szCs w:val="32"/>
        </w:rPr>
        <w:t>创作者大赛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组</w:t>
      </w:r>
      <w:r>
        <w:rPr>
          <w:rFonts w:ascii="仿宋" w:hAnsi="仿宋" w:eastAsia="仿宋"/>
          <w:sz w:val="32"/>
          <w:szCs w:val="32"/>
        </w:rPr>
        <w:t>委会</w:t>
      </w:r>
    </w:p>
    <w:p w14:paraId="4C11A67E">
      <w:pPr>
        <w:ind w:firstLine="4480" w:firstLineChars="1400"/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0</w:t>
      </w:r>
      <w:bookmarkStart w:id="1" w:name="_GoBack"/>
      <w:bookmarkEnd w:id="1"/>
      <w:r>
        <w:rPr>
          <w:rFonts w:ascii="仿宋" w:hAnsi="仿宋" w:eastAsia="仿宋"/>
          <w:sz w:val="32"/>
          <w:szCs w:val="32"/>
        </w:rPr>
        <w:t>26年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ascii="仿宋" w:hAnsi="仿宋" w:eastAsia="仿宋"/>
          <w:sz w:val="32"/>
          <w:szCs w:val="32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4F6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82C49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82C49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3B7331"/>
    <w:multiLevelType w:val="singleLevel"/>
    <w:tmpl w:val="B63B733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03D70"/>
    <w:rsid w:val="0F0767AD"/>
    <w:rsid w:val="4A82670C"/>
    <w:rsid w:val="5D90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insoku/>
      <w:topLinePunct/>
      <w:autoSpaceDE w:val="0"/>
      <w:autoSpaceDN w:val="0"/>
      <w:adjustRightInd w:val="0"/>
      <w:snapToGrid w:val="0"/>
      <w:spacing w:line="560" w:lineRule="exact"/>
      <w:ind w:firstLine="880" w:firstLineChars="200"/>
      <w:jc w:val="both"/>
      <w:textAlignment w:val="baseline"/>
    </w:pPr>
    <w:rPr>
      <w:rFonts w:ascii="仿宋" w:hAnsi="仿宋" w:eastAsia="仿宋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2026-06-08T08:45:00Z</dcterms:created>
  <dc:creator>FAN哥不能倒</dc:creator>
  <cp:lastModifiedBy>FAN哥不能倒</cp:lastModifiedBy>
  <dcterms:modified xsi:type="dcterms:W3CDTF">2026-06-08T08:54:29Z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9171546C9F85412085148883147AD34B_11</vt:lpwstr>
  </property>
  <property fmtid="{D5CDD505-2E9C-101B-9397-08002B2CF9AE}" pid="4" name="KSOTemplateDocerSaveRecord">
    <vt:lpwstr>eyJoZGlkIjoiYTQwZWU0MDNmMTk2ODE5MGU3YzdlZjk0ZmJhZGI5MzAiLCJ1c2VySWQiOiI0MTAyNDI0MDIifQ==</vt:lpwstr>
  </property>
</Properties>
</file>